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F4E79" w:val="clear"/>
            <w:tcMar>
              <w:top w:type="dxa" w:w="240"/>
              <w:left w:type="dxa" w:w="360"/>
              <w:bottom w:type="dxa" w:w="240"/>
              <w:right w:type="dxa" w:w="360"/>
            </w:tcMar>
          </w:tcPr>
          <w:p>
            <w:pPr>
              <w:spacing w:after="80"/>
            </w:pPr>
            <w:r>
              <w:rPr>
                <w:rFonts w:ascii="Arial" w:cs="Arial" w:eastAsia="Arial" w:hAnsi="Arial"/>
                <w:b/>
                <w:bCs/>
                <w:color w:val="BDD7EE"/>
                <w:sz w:val="20"/>
                <w:szCs w:val="20"/>
              </w:rPr>
              <w:t xml:space="preserve">KindPharma Inc.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36"/>
                <w:szCs w:val="36"/>
              </w:rPr>
              <w:t xml:space="preserve">HCP Promotional Communication Policy</w:t>
            </w:r>
          </w:p>
          <w:p>
            <w:pPr>
              <w:spacing w:after="60"/>
            </w:pPr>
            <w:r>
              <w:rPr>
                <w:rFonts w:ascii="Arial" w:cs="Arial" w:eastAsia="Arial" w:hAnsi="Arial"/>
                <w:color w:val="BDD7EE"/>
                <w:sz w:val="18"/>
                <w:szCs w:val="18"/>
              </w:rPr>
              <w:t xml:space="preserve">Commercial Compliance &amp; Medical Affairs</w:t>
            </w:r>
          </w:p>
          <w:p>
            <w:r>
              <w:rPr>
                <w:rFonts w:ascii="Arial" w:cs="Arial" w:eastAsia="Arial" w:hAnsi="Arial"/>
                <w:color w:val="93B8D4"/>
                <w:sz w:val="15"/>
                <w:szCs w:val="15"/>
              </w:rPr>
              <w:t xml:space="preserve">Version 3.1  |  Effective: January 2026  |  Review Date: January 2027  |  CONFIDENTIAL</w:t>
            </w:r>
          </w:p>
        </w:tc>
      </w:tr>
    </w:tbl>
    <w:p>
      <w:pPr>
        <w:spacing w:after="12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1. Purpose &amp; Scope</w:t>
      </w:r>
    </w:p>
    <w:p>
      <w:pPr>
        <w:spacing w:after="6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This policy governs all promotional communications directed at Healthcare Professionals (HCPs) by KindPharma Inc. field representatives, medical science liaisons, and any AI-assisted or digitally automated communication tools used on behalf of KindPharma. It applies to all channels including in-person visits, phone calls, email, webinars, digital advertising, and any future channels approved by the Compliance Committee.</w:t>
      </w:r>
    </w:p>
    <w:p>
      <w:pPr>
        <w:spacing w:after="6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All HCP-facing content — whether authored by a human, generated by an AI system, or produced through a combination of both — must comply with this policy before delivery.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ℹ️  </w:t>
            </w:r>
            <w:r>
              <w:rPr>
                <w:rFonts w:ascii="Arial" w:cs="Arial" w:eastAsia="Arial" w:hAnsi="Arial"/>
                <w:color w:val="1F4E79"/>
                <w:sz w:val="17"/>
                <w:szCs w:val="17"/>
              </w:rPr>
              <w:t xml:space="preserve">This policy applies to content generated by the NBA Action Assistant and any other AI-assisted outreach tools. AI-generated drafts must be reviewed for policy compliance before sending.</w:t>
            </w:r>
          </w:p>
        </w:tc>
      </w:tr>
    </w:tbl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2. Approved Indication &amp; Claims</w:t>
      </w: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2.1 Approved Indication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All promotional communications must reference only the approved indication as stated in the current Prescribing Information (PI). The approved indication for Brand X is: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r>
              <w:rPr>
                <w:rFonts w:ascii="Arial" w:cs="Arial" w:eastAsia="Arial" w:hAnsi="Arial"/>
                <w:i/>
                <w:iCs/>
                <w:color w:val="404040"/>
                <w:sz w:val="17"/>
                <w:szCs w:val="17"/>
              </w:rPr>
              <w:t xml:space="preserve">Brand X is indicated for the treatment of [condition] in adult patients with [qualifying criteria] as defined in the full Prescribing Information.</w:t>
            </w:r>
          </w:p>
        </w:tc>
      </w:tr>
    </w:tbl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2.2 Approved Efficacy Claims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The following claims are approved for use in HCP communications. All claims must reference the supporting clinical data when used in written communications: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Statistically significant reduction in [primary endpoint] vs placebo (p&lt;0.001) — Phase III CLARITY trial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Consistent efficacy across patient subgroups including elderly patients (≥65 years)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Durable response maintained through 52 weeks of treatment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Established safety profile with over 50,000 patient-years of exposure</w:t>
      </w:r>
    </w:p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2.3 Required Fair Balance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All promotional communications of any length must include fair balance. For written communications, the following standard language must appear: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color w:val="C00000"/>
                <w:sz w:val="17"/>
                <w:szCs w:val="17"/>
              </w:rPr>
              <w:t xml:space="preserve">Important Safety Information</w:t>
            </w:r>
          </w:p>
          <w:p>
            <w:pPr>
              <w:spacing w:after="20"/>
            </w:pPr>
            <w:r>
              <w:rPr>
                <w:rFonts w:ascii="Arial" w:cs="Arial" w:eastAsia="Arial" w:hAnsi="Arial"/>
                <w:color w:val="404040"/>
                <w:sz w:val="16"/>
                <w:szCs w:val="16"/>
              </w:rPr>
              <w:t xml:space="preserve">CONTRAINDICATIONS: Brand X is contraindicated in patients with known hypersensitivity to [active ingredient] or any excipients.</w:t>
            </w:r>
          </w:p>
          <w:p>
            <w:pPr>
              <w:spacing w:after="20"/>
            </w:pPr>
            <w:r>
              <w:rPr>
                <w:rFonts w:ascii="Arial" w:cs="Arial" w:eastAsia="Arial" w:hAnsi="Arial"/>
                <w:color w:val="404040"/>
                <w:sz w:val="16"/>
                <w:szCs w:val="16"/>
              </w:rPr>
              <w:t xml:space="preserve">WARNINGS: Risk of [serious adverse event]. Monitor patients for signs of [condition]. Discontinue if [criteria].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color w:val="404040"/>
                <w:sz w:val="16"/>
                <w:szCs w:val="16"/>
              </w:rPr>
              <w:t xml:space="preserve">Please refer to the full Prescribing Information, including Boxed Warning, for complete safety information.</w:t>
            </w:r>
          </w:p>
        </w:tc>
      </w:tr>
    </w:tbl>
    <w:p>
      <w:pPr>
        <w:spacing w:after="6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⚠️  </w:t>
            </w:r>
            <w:r>
              <w:rPr>
                <w:rFonts w:ascii="Arial" w:cs="Arial" w:eastAsia="Arial" w:hAnsi="Arial"/>
                <w:color w:val="7D4000"/>
                <w:sz w:val="17"/>
                <w:szCs w:val="17"/>
              </w:rPr>
              <w:t xml:space="preserve">Emails and written communications generated by AI tools must include the standard fair balance footer. Review all AI-generated drafts to confirm this is present before sending.</w:t>
            </w:r>
          </w:p>
        </w:tc>
      </w:tr>
    </w:tbl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3. Prohibited Content &amp; Language</w:t>
      </w: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3.1 Absolute Prohibitions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The following are strictly prohibited in all HCP communications regardless of channel: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🚫  </w:t>
            </w:r>
            <w:r>
              <w:rPr>
                <w:rFonts w:ascii="Arial" w:cs="Arial" w:eastAsia="Arial" w:hAnsi="Arial"/>
                <w:color w:val="C00000"/>
                <w:sz w:val="17"/>
                <w:szCs w:val="17"/>
              </w:rPr>
              <w:t xml:space="preserve">Off-label promotion: any reference to uses, patient populations, doses, or routes of administration not included in the approved Prescribing Information.</w:t>
            </w:r>
          </w:p>
        </w:tc>
      </w:tr>
    </w:tbl>
    <w:p>
      <w:pPr>
        <w:spacing w:after="2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🚫  </w:t>
            </w:r>
            <w:r>
              <w:rPr>
                <w:rFonts w:ascii="Arial" w:cs="Arial" w:eastAsia="Arial" w:hAnsi="Arial"/>
                <w:color w:val="C00000"/>
                <w:sz w:val="17"/>
                <w:szCs w:val="17"/>
              </w:rPr>
              <w:t xml:space="preserve">Unsubstantiated superiority claims: statements that Brand X is superior to a competitor product unless supported by head-to-head clinical data approved by MLR.</w:t>
            </w:r>
          </w:p>
        </w:tc>
      </w:tr>
    </w:tbl>
    <w:p>
      <w:pPr>
        <w:spacing w:after="2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🚫  </w:t>
            </w:r>
            <w:r>
              <w:rPr>
                <w:rFonts w:ascii="Arial" w:cs="Arial" w:eastAsia="Arial" w:hAnsi="Arial"/>
                <w:color w:val="C00000"/>
                <w:sz w:val="17"/>
                <w:szCs w:val="17"/>
              </w:rPr>
              <w:t xml:space="preserve">Causal language without evidence: phrases such as 'Brand X cures', 'Brand X eliminates', or 'Brand X prevents' unless explicitly approved in the PI.</w:t>
            </w:r>
          </w:p>
        </w:tc>
      </w:tr>
    </w:tbl>
    <w:p>
      <w:pPr>
        <w:spacing w:after="2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🚫  </w:t>
            </w:r>
            <w:r>
              <w:rPr>
                <w:rFonts w:ascii="Arial" w:cs="Arial" w:eastAsia="Arial" w:hAnsi="Arial"/>
                <w:color w:val="C00000"/>
                <w:sz w:val="17"/>
                <w:szCs w:val="17"/>
              </w:rPr>
              <w:t xml:space="preserve">Misleading statistics: cherry-picked data, relative risk without absolute risk context, or presentation of data in a way that could mislead the HCP.</w:t>
            </w:r>
          </w:p>
        </w:tc>
      </w:tr>
    </w:tbl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3.2 Prohibited Language Examples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5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Do NOT use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Use instead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Proven to cure [condition]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Associated with significant improvement in [endpoint]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Better than [competitor]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Demonstrated [specific outcome] in clinical trials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Safe for all patients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Well-tolerated in clinical studies; see PI for full safety profile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Guaranteed results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In clinical trials, X% of patients achieved [endpoint]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No serious side effects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Adverse events were reported in X% of patients; see PI</w:t>
            </w:r>
          </w:p>
        </w:tc>
      </w:tr>
    </w:tbl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4. Channel-Specific Rules</w:t>
      </w: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4.1 Email Communications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Only HCPs who have provided explicit consent to receive promotional email communications may be contacted via email.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Every promotional email must contain a functioning unsubscribe mechanism. Honour opt-out requests within 10 business days.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Subject lines must not be misleading or create false urgency. Avoid subject lines that do not accurately reflect the email content.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Maximum email frequency: no more than 2 promotional emails per HCP per week across all brands.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AI-generated email content must be reviewed by the rep before sending to confirm accuracy and fair balance compliance.</w:t>
      </w:r>
    </w:p>
    <w:p>
      <w:pPr>
        <w:spacing w:after="4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D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ℹ️  </w:t>
            </w:r>
            <w:r>
              <w:rPr>
                <w:rFonts w:ascii="Arial" w:cs="Arial" w:eastAsia="Arial" w:hAnsi="Arial"/>
                <w:color w:val="1F4E79"/>
                <w:sz w:val="17"/>
                <w:szCs w:val="17"/>
              </w:rPr>
              <w:t xml:space="preserve">The NBA Action Assistant generates email drafts for rep review. Do not send AI-generated emails without first confirming the content is accurate, fair-balanced, and appropriate for this specific HCP.</w:t>
            </w:r>
          </w:p>
        </w:tc>
      </w:tr>
    </w:tbl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4.2 Rep Visits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All materials presented during rep visits must be MLR-approved. Do not present unapproved data, studies, or materials.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If an HCP raises an off-label question, refer them to Medical Affairs for an unsolicited medical information response. Do not address off-label questions in a promotional context.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Document all rep visits in the CRM system within 24 hours of the interaction.</w:t>
      </w:r>
    </w:p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4.3 Phone Calls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Phone calls must be initiated only during business hours (8am–6pm local time) unless the HCP has explicitly agreed to contact outside these hours.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Do not leave promotional voicemail messages. If the HCP is unavailable, leave a brief non-promotional message and follow up via approved channel.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Calls should be logged in CRM immediately following the interaction.</w:t>
      </w:r>
    </w:p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4.4 Webinars &amp; Digital Advertising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Webinar content must be MLR-approved at least 5 business days before the event.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Digital advertising targeting HCPs must use verified HCP audience segments only. Consumer-facing placements are not permitted for prescription-only products.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All digital ad copy must go through standard MLR review regardless of length.</w:t>
      </w:r>
    </w:p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5. MLR Review Requirements</w:t>
      </w: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5.1 Content Requiring MLR Review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The following content categories require MLR review and approval before use: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All new promotional materials (printed or digital)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AI-generated content that will be sent to HCPs without further modification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Webinar slides and speaker presentations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Digital ad copy, banner ads, and sponsored content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Any content referencing clinical data, efficacy claims, or safety information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Responses to unsolicited medical questions that include clinical data</w:t>
      </w:r>
    </w:p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5.2 Standard Review Timelines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3000"/>
        <w:gridCol w:w="3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Content Type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Standard Turnaround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Expedited (if available)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Email template (new)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10 business days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5 business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Email template (minor update)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5 business days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2 business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Digital ad copy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7 business days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3 business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Webinar slides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10 business days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5 business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Rep aid (new)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15 business days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7 business days</w:t>
            </w:r>
          </w:p>
        </w:tc>
      </w:tr>
    </w:tbl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5.3 AI-Generated Content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Content generated by AI tools (including the NBA Action Assistant) is subject to the following rules: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AI-generated email drafts used as templates across multiple HCPs require full MLR review before deployment.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AI-generated drafts personalised for a single HCP and reviewed by the rep before sending may be treated as rep-authored communications, subject to the rep's accountability for compliance.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Reps must not modify MLR-approved content to incorporate AI suggestions without re-submitting for review.</w:t>
      </w:r>
    </w:p>
    <w:p>
      <w:pPr>
        <w:spacing w:after="4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2C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⚠️  </w:t>
            </w:r>
            <w:r>
              <w:rPr>
                <w:rFonts w:ascii="Arial" w:cs="Arial" w:eastAsia="Arial" w:hAnsi="Arial"/>
                <w:color w:val="7D4000"/>
                <w:sz w:val="17"/>
                <w:szCs w:val="17"/>
              </w:rPr>
              <w:t xml:space="preserve">Reps are accountable for the content of all communications sent under their name, regardless of whether the content was AI-generated. Review every draft before sending.</w:t>
            </w:r>
          </w:p>
        </w:tc>
      </w:tr>
    </w:tbl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6. Adverse Event &amp; Product Complaint Reporting</w:t>
      </w:r>
    </w:p>
    <w:p>
      <w:pPr>
        <w:spacing w:after="40" w:before="0"/>
      </w:pPr>
      <w:r>
        <w:rPr>
          <w:rFonts w:ascii="Arial" w:cs="Arial" w:eastAsia="Arial" w:hAnsi="Arial"/>
          <w:color w:val="404040"/>
          <w:sz w:val="17"/>
          <w:szCs w:val="17"/>
        </w:rPr>
        <w:t xml:space="preserve">If an HCP mentions an adverse event, product complaint, or safety concern during any interaction — including email, phone, or in-person — the rep is required to: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Acknowledge the report to the HCP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Document the details immediately (patient initials, event description, product, date)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Submit a report to Pharmacovigilance via the internal reporting system within 24 hours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Do not attempt to minimise, dispute, or provide medical advice about the adverse event</w:t>
      </w:r>
    </w:p>
    <w:p>
      <w:pPr>
        <w:spacing w:after="4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4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EC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sz w:val="17"/>
                <w:szCs w:val="17"/>
              </w:rPr>
              <w:t xml:space="preserve">🚫  </w:t>
            </w:r>
            <w:r>
              <w:rPr>
                <w:rFonts w:ascii="Arial" w:cs="Arial" w:eastAsia="Arial" w:hAnsi="Arial"/>
                <w:color w:val="C00000"/>
                <w:sz w:val="17"/>
                <w:szCs w:val="17"/>
              </w:rPr>
              <w:t xml:space="preserve">Failure to report adverse events received during HCP interactions is a serious compliance breach and may result in regulatory action against KindPharma.</w:t>
            </w:r>
          </w:p>
        </w:tc>
      </w:tr>
    </w:tbl>
    <w:p>
      <w:pPr>
        <w:spacing w:after="80" w:before="0"/>
      </w:pPr>
    </w:p>
    <w:p>
      <w:pPr>
        <w:pBdr>
          <w:bottom w:val="single" w:color="2E75B6" w:sz="8" w:space="2"/>
        </w:pBdr>
        <w:spacing w:after="80" w:before="20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7. Contact Frequency &amp; Consent Rules</w:t>
      </w: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7.1 Maximum Contact Frequency</w:t>
      </w: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3200"/>
        <w:gridCol w:w="324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Channel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Max per week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6"/>
                <w:szCs w:val="16"/>
              </w:rPr>
              <w:t xml:space="preserve">Min days between contacts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5"/>
                <w:szCs w:val="15"/>
              </w:rPr>
              <w:t xml:space="preserve">Rep Visit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14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5"/>
                <w:szCs w:val="15"/>
              </w:rPr>
              <w:t xml:space="preserve">Phone Call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7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5"/>
                <w:szCs w:val="15"/>
              </w:rPr>
              <w:t xml:space="preserve">Email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5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5"/>
                <w:szCs w:val="15"/>
              </w:rPr>
              <w:t xml:space="preserve">Webinar invite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14 days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404040"/>
                <w:sz w:val="15"/>
                <w:szCs w:val="15"/>
              </w:rPr>
              <w:t xml:space="preserve">Digital Ad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N/A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5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404040"/>
                <w:sz w:val="15"/>
                <w:szCs w:val="15"/>
              </w:rPr>
              <w:t xml:space="preserve">Managed by platform frequency caps</w:t>
            </w:r>
          </w:p>
        </w:tc>
      </w:tr>
    </w:tbl>
    <w:p>
      <w:pPr>
        <w:spacing w:after="60" w:before="0"/>
      </w:pPr>
    </w:p>
    <w:p>
      <w:pPr>
        <w:spacing w:after="60" w:before="140"/>
      </w:pPr>
      <w:r>
        <w:rPr>
          <w:rFonts w:ascii="Arial" w:cs="Arial" w:eastAsia="Arial" w:hAnsi="Arial"/>
          <w:b/>
          <w:bCs/>
          <w:color w:val="2E75B6"/>
          <w:sz w:val="20"/>
          <w:szCs w:val="20"/>
        </w:rPr>
        <w:t xml:space="preserve">7.2 Opt-Out &amp; Consent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Honour all channel-specific opt-out requests immediately. Do not contact an HCP on a channel they have opted out of.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Global opt-out requests must be applied across all channels within 5 business days.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Do not use personal contact information (personal email, personal mobile) obtained informally. Only use contact details held in the approved CRM system.</w:t>
      </w:r>
    </w:p>
    <w:p>
      <w:pPr>
        <w:pStyle w:val="ListParagraph"/>
        <w:numPr>
          <w:ilvl w:val="0"/>
          <w:numId w:val="2"/>
        </w:numPr>
        <w:spacing w:after="40" w:before="0"/>
      </w:pPr>
      <w:r>
        <w:rPr>
          <w:rFonts w:ascii="Arial" w:cs="Arial" w:eastAsia="Arial" w:hAnsi="Arial"/>
          <w:b w:val="false"/>
          <w:bCs w:val="false"/>
          <w:color w:val="404040"/>
          <w:sz w:val="17"/>
          <w:szCs w:val="17"/>
        </w:rPr>
        <w:t xml:space="preserve">HCPs who have not engaged with any outreach in 24 months should be flagged for re-consent before further promotional contact.</w:t>
      </w:r>
    </w:p>
    <w:p>
      <w:pPr>
        <w:spacing w:after="80" w:before="0"/>
      </w:pPr>
    </w:p>
    <w:p>
      <w:pPr>
        <w:pBdr>
          <w:top w:val="single" w:color="CCCCCC" w:sz="4" w:space="4"/>
        </w:pBdr>
        <w:spacing w:before="60"/>
        <w:jc w:val="center"/>
      </w:pPr>
      <w:r>
        <w:rPr>
          <w:rFonts w:ascii="Arial" w:cs="Arial" w:eastAsia="Arial" w:hAnsi="Arial"/>
          <w:color w:val="999999"/>
          <w:sz w:val="14"/>
          <w:szCs w:val="14"/>
        </w:rPr>
        <w:t xml:space="preserve">KindPharma Inc.  |  HCP Promotional Communication Policy  |  Version 3.1  |  January 2026  |  CONFIDENTIAL</w:t>
      </w:r>
    </w:p>
    <w:sectPr>
      <w:pgSz w:w="12240" w:h="15840" w:orient="portrait"/>
      <w:pgMar w:top="72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404040"/>
        <w:sz w:val="17"/>
        <w:szCs w:val="17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2026-04-13T17:52:46.051Z</dcterms:created>
  <dcterms:modified xsi:type="dcterms:W3CDTF">2026-04-13T17:52:46.051Z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